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896"/>
        <w:gridCol w:w="7459"/>
      </w:tblGrid>
      <w:tr w:rsidR="00CA3849" w:rsidRPr="00D7749C" w:rsidTr="00FF7BE2">
        <w:trPr>
          <w:jc w:val="center"/>
        </w:trPr>
        <w:tc>
          <w:tcPr>
            <w:tcW w:w="1716" w:type="dxa"/>
          </w:tcPr>
          <w:p w:rsidR="00CA3849" w:rsidRPr="0013135E" w:rsidRDefault="00CA3849" w:rsidP="00FF7BE2">
            <w:pPr>
              <w:jc w:val="center"/>
              <w:rPr>
                <w:b/>
                <w:sz w:val="28"/>
                <w:szCs w:val="28"/>
              </w:rPr>
            </w:pPr>
            <w:r w:rsidRPr="00311E86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6838CA4" wp14:editId="4FB72F31">
                  <wp:extent cx="1066800" cy="1000125"/>
                  <wp:effectExtent l="0" t="0" r="0" b="9525"/>
                  <wp:docPr id="6" name="Рисунок 35" descr="Лого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35" descr="Лого1"/>
                          <pic:cNvPicPr/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9" w:type="dxa"/>
            <w:vAlign w:val="center"/>
          </w:tcPr>
          <w:p w:rsidR="00CA3849" w:rsidRPr="0013135E" w:rsidRDefault="00CA3849" w:rsidP="00FF7BE2">
            <w:pPr>
              <w:jc w:val="center"/>
              <w:rPr>
                <w:b/>
                <w:sz w:val="28"/>
                <w:szCs w:val="28"/>
              </w:rPr>
            </w:pPr>
            <w:r w:rsidRPr="0013135E">
              <w:rPr>
                <w:b/>
                <w:sz w:val="28"/>
                <w:szCs w:val="28"/>
              </w:rPr>
              <w:t>Негосударственное частное образовательное учреждение высшего образования</w:t>
            </w:r>
          </w:p>
          <w:p w:rsidR="00CA3849" w:rsidRPr="0013135E" w:rsidRDefault="00CA3849" w:rsidP="00FF7BE2">
            <w:pPr>
              <w:jc w:val="center"/>
              <w:rPr>
                <w:b/>
                <w:sz w:val="28"/>
                <w:szCs w:val="28"/>
              </w:rPr>
            </w:pPr>
            <w:r w:rsidRPr="0013135E">
              <w:rPr>
                <w:b/>
                <w:sz w:val="28"/>
                <w:szCs w:val="28"/>
              </w:rPr>
              <w:t>«Технический университет УГМК»</w:t>
            </w:r>
          </w:p>
        </w:tc>
      </w:tr>
    </w:tbl>
    <w:p w:rsidR="00CA3849" w:rsidRPr="00886336" w:rsidRDefault="00CA3849" w:rsidP="00CA3849">
      <w:pPr>
        <w:jc w:val="right"/>
        <w:rPr>
          <w:sz w:val="28"/>
          <w:szCs w:val="28"/>
          <w:highlight w:val="lightGray"/>
        </w:rPr>
      </w:pPr>
    </w:p>
    <w:p w:rsidR="00CA3849" w:rsidRPr="00886336" w:rsidRDefault="00CA3849" w:rsidP="00CA3849">
      <w:pPr>
        <w:jc w:val="right"/>
        <w:rPr>
          <w:sz w:val="28"/>
          <w:szCs w:val="28"/>
          <w:highlight w:val="lightGray"/>
        </w:rPr>
      </w:pPr>
    </w:p>
    <w:p w:rsidR="00CA3849" w:rsidRDefault="00CA3849" w:rsidP="00CA3849">
      <w:pPr>
        <w:tabs>
          <w:tab w:val="left" w:pos="8160"/>
        </w:tabs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  <w:lang w:eastAsia="en-US"/>
        </w:rPr>
      </w:pPr>
    </w:p>
    <w:p w:rsidR="00C30500" w:rsidRDefault="00C30500" w:rsidP="00CA3849">
      <w:pPr>
        <w:tabs>
          <w:tab w:val="left" w:pos="8160"/>
        </w:tabs>
        <w:autoSpaceDE w:val="0"/>
        <w:autoSpaceDN w:val="0"/>
        <w:adjustRightInd w:val="0"/>
        <w:rPr>
          <w:rFonts w:ascii="TimesNewRoman,Bold" w:hAnsi="TimesNewRoman,Bold" w:cs="TimesNewRoman,Bold"/>
          <w:bCs/>
          <w:sz w:val="32"/>
          <w:szCs w:val="32"/>
          <w:lang w:eastAsia="en-US"/>
        </w:rPr>
      </w:pPr>
    </w:p>
    <w:p w:rsidR="00340B0B" w:rsidRDefault="00340B0B" w:rsidP="00CA3849">
      <w:pPr>
        <w:tabs>
          <w:tab w:val="left" w:pos="8160"/>
        </w:tabs>
        <w:autoSpaceDE w:val="0"/>
        <w:autoSpaceDN w:val="0"/>
        <w:adjustRightInd w:val="0"/>
        <w:rPr>
          <w:rFonts w:ascii="TimesNewRoman,Bold" w:hAnsi="TimesNewRoman,Bold" w:cs="TimesNewRoman,Bold"/>
          <w:bCs/>
          <w:sz w:val="32"/>
          <w:szCs w:val="32"/>
          <w:lang w:eastAsia="en-US"/>
        </w:rPr>
      </w:pPr>
    </w:p>
    <w:p w:rsidR="00340B0B" w:rsidRDefault="00340B0B" w:rsidP="00CA3849">
      <w:pPr>
        <w:tabs>
          <w:tab w:val="left" w:pos="8160"/>
        </w:tabs>
        <w:autoSpaceDE w:val="0"/>
        <w:autoSpaceDN w:val="0"/>
        <w:adjustRightInd w:val="0"/>
        <w:rPr>
          <w:rFonts w:ascii="TimesNewRoman,Bold" w:hAnsi="TimesNewRoman,Bold" w:cs="TimesNewRoman,Bold"/>
          <w:bCs/>
          <w:sz w:val="32"/>
          <w:szCs w:val="32"/>
          <w:lang w:eastAsia="en-US"/>
        </w:rPr>
      </w:pPr>
    </w:p>
    <w:p w:rsidR="00340B0B" w:rsidRPr="00F31532" w:rsidRDefault="00340B0B" w:rsidP="00CA3849">
      <w:pPr>
        <w:tabs>
          <w:tab w:val="left" w:pos="8160"/>
        </w:tabs>
        <w:autoSpaceDE w:val="0"/>
        <w:autoSpaceDN w:val="0"/>
        <w:adjustRightInd w:val="0"/>
        <w:rPr>
          <w:rFonts w:ascii="TimesNewRoman,Bold" w:hAnsi="TimesNewRoman,Bold" w:cs="TimesNewRoman,Bold"/>
          <w:bCs/>
          <w:sz w:val="32"/>
          <w:szCs w:val="32"/>
          <w:lang w:eastAsia="en-US"/>
        </w:rPr>
      </w:pPr>
    </w:p>
    <w:p w:rsidR="00CA3849" w:rsidRPr="00886336" w:rsidRDefault="00CA3849" w:rsidP="00CA3849">
      <w:pPr>
        <w:jc w:val="right"/>
        <w:rPr>
          <w:sz w:val="28"/>
          <w:szCs w:val="28"/>
          <w:highlight w:val="lightGray"/>
        </w:rPr>
      </w:pPr>
    </w:p>
    <w:p w:rsidR="00CA3849" w:rsidRPr="00886336" w:rsidRDefault="00CA3849" w:rsidP="00CA3849">
      <w:pPr>
        <w:jc w:val="center"/>
        <w:rPr>
          <w:sz w:val="28"/>
          <w:szCs w:val="28"/>
          <w:highlight w:val="lightGray"/>
        </w:rPr>
      </w:pPr>
    </w:p>
    <w:p w:rsidR="00CA3849" w:rsidRPr="00886336" w:rsidRDefault="00CA3849" w:rsidP="00CA3849">
      <w:pPr>
        <w:rPr>
          <w:sz w:val="28"/>
          <w:szCs w:val="28"/>
          <w:highlight w:val="lightGray"/>
        </w:rPr>
      </w:pPr>
    </w:p>
    <w:p w:rsidR="00CA3849" w:rsidRPr="00427E42" w:rsidRDefault="00CA3849" w:rsidP="00CA3849">
      <w:pPr>
        <w:jc w:val="center"/>
        <w:rPr>
          <w:bCs/>
          <w:caps/>
          <w:spacing w:val="-17"/>
          <w:sz w:val="28"/>
          <w:szCs w:val="28"/>
        </w:rPr>
      </w:pPr>
      <w:r w:rsidRPr="00427E42">
        <w:rPr>
          <w:b/>
          <w:sz w:val="28"/>
          <w:szCs w:val="28"/>
        </w:rPr>
        <w:t xml:space="preserve">МЕТОДИЧЕСКИЕ РЕКОМЕНДАЦИИ К ОРГАНИЗАЦИИ И ВЫПОЛНЕНИЮ САМОСТОЯТЕЛЬНОЙ РАБОТЫ ПО ДИСЦИПЛИНЕ </w:t>
      </w:r>
    </w:p>
    <w:p w:rsidR="00C3637D" w:rsidRDefault="00C3637D" w:rsidP="00CA3849">
      <w:pPr>
        <w:jc w:val="center"/>
        <w:rPr>
          <w:bCs/>
          <w:spacing w:val="-17"/>
        </w:rPr>
      </w:pPr>
    </w:p>
    <w:p w:rsidR="00CA3849" w:rsidRDefault="00CA3849" w:rsidP="00CA3849">
      <w:pPr>
        <w:jc w:val="center"/>
        <w:rPr>
          <w:bCs/>
          <w:caps/>
          <w:spacing w:val="-17"/>
        </w:rPr>
      </w:pPr>
      <w:r w:rsidRPr="005D57B0">
        <w:rPr>
          <w:bCs/>
          <w:spacing w:val="-17"/>
        </w:rPr>
        <w:t xml:space="preserve"> </w:t>
      </w:r>
    </w:p>
    <w:p w:rsidR="004E4504" w:rsidRPr="00347184" w:rsidRDefault="0073780E" w:rsidP="004E450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ВВЕДЕНИЕ В СПЕЦАЛЬНОСТЬ</w:t>
      </w:r>
    </w:p>
    <w:p w:rsidR="00CA3849" w:rsidRPr="00B47397" w:rsidRDefault="00CA3849" w:rsidP="00CA3849">
      <w:pPr>
        <w:jc w:val="center"/>
        <w:rPr>
          <w:sz w:val="32"/>
          <w:highlight w:val="lightGray"/>
        </w:rPr>
      </w:pPr>
      <w:r w:rsidRPr="00B47397">
        <w:rPr>
          <w:spacing w:val="-15"/>
          <w:sz w:val="28"/>
          <w:highlight w:val="lightGray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14"/>
        <w:gridCol w:w="732"/>
        <w:gridCol w:w="127"/>
        <w:gridCol w:w="5374"/>
      </w:tblGrid>
      <w:tr w:rsidR="00544A4C" w:rsidTr="00544A4C">
        <w:tc>
          <w:tcPr>
            <w:tcW w:w="3014" w:type="dxa"/>
            <w:hideMark/>
          </w:tcPr>
          <w:p w:rsidR="00544A4C" w:rsidRDefault="00544A4C">
            <w:pPr>
              <w:autoSpaceDE w:val="0"/>
              <w:autoSpaceDN w:val="0"/>
              <w:adjustRightInd w:val="0"/>
              <w:spacing w:before="240"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Направление подготовки</w:t>
            </w:r>
          </w:p>
        </w:tc>
        <w:tc>
          <w:tcPr>
            <w:tcW w:w="62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44A4C" w:rsidRDefault="00544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15.03.02 Технологические машины и оборудование</w:t>
            </w:r>
          </w:p>
        </w:tc>
      </w:tr>
      <w:tr w:rsidR="00544A4C" w:rsidTr="00544A4C">
        <w:tc>
          <w:tcPr>
            <w:tcW w:w="3014" w:type="dxa"/>
            <w:hideMark/>
          </w:tcPr>
          <w:p w:rsidR="00544A4C" w:rsidRDefault="00544A4C">
            <w:pPr>
              <w:autoSpaceDE w:val="0"/>
              <w:autoSpaceDN w:val="0"/>
              <w:adjustRightInd w:val="0"/>
              <w:spacing w:before="240"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Профиль подготовки</w:t>
            </w:r>
          </w:p>
        </w:tc>
        <w:tc>
          <w:tcPr>
            <w:tcW w:w="62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44A4C" w:rsidRDefault="00544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Технологические машины и оборудование</w:t>
            </w:r>
          </w:p>
        </w:tc>
      </w:tr>
      <w:tr w:rsidR="00544A4C" w:rsidTr="00544A4C">
        <w:tc>
          <w:tcPr>
            <w:tcW w:w="3873" w:type="dxa"/>
            <w:gridSpan w:val="3"/>
            <w:hideMark/>
          </w:tcPr>
          <w:p w:rsidR="00544A4C" w:rsidRDefault="00544A4C">
            <w:pPr>
              <w:autoSpaceDE w:val="0"/>
              <w:autoSpaceDN w:val="0"/>
              <w:adjustRightInd w:val="0"/>
              <w:spacing w:before="240"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Уровень высшего образования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44A4C" w:rsidRDefault="00544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Бакалавриат</w:t>
            </w:r>
            <w:proofErr w:type="spellEnd"/>
          </w:p>
        </w:tc>
      </w:tr>
      <w:tr w:rsidR="00544A4C" w:rsidTr="00544A4C">
        <w:trPr>
          <w:trHeight w:val="118"/>
        </w:trPr>
        <w:tc>
          <w:tcPr>
            <w:tcW w:w="3746" w:type="dxa"/>
            <w:gridSpan w:val="2"/>
          </w:tcPr>
          <w:p w:rsidR="00544A4C" w:rsidRDefault="00544A4C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lang w:eastAsia="en-US"/>
              </w:rPr>
            </w:pPr>
          </w:p>
        </w:tc>
        <w:tc>
          <w:tcPr>
            <w:tcW w:w="5501" w:type="dxa"/>
            <w:gridSpan w:val="2"/>
            <w:hideMark/>
          </w:tcPr>
          <w:p w:rsidR="00544A4C" w:rsidRDefault="00544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lang w:eastAsia="en-US"/>
              </w:rPr>
            </w:pPr>
            <w:r>
              <w:rPr>
                <w:i/>
                <w:iCs/>
                <w:lang w:eastAsia="en-US"/>
              </w:rPr>
              <w:t>(</w:t>
            </w:r>
            <w:proofErr w:type="spellStart"/>
            <w:r>
              <w:rPr>
                <w:i/>
                <w:iCs/>
                <w:lang w:eastAsia="en-US"/>
              </w:rPr>
              <w:t>бакалавриат</w:t>
            </w:r>
            <w:proofErr w:type="spellEnd"/>
            <w:r>
              <w:rPr>
                <w:i/>
                <w:iCs/>
                <w:lang w:eastAsia="en-US"/>
              </w:rPr>
              <w:t xml:space="preserve">, </w:t>
            </w:r>
            <w:proofErr w:type="spellStart"/>
            <w:r>
              <w:rPr>
                <w:i/>
                <w:iCs/>
                <w:lang w:eastAsia="en-US"/>
              </w:rPr>
              <w:t>специалитет</w:t>
            </w:r>
            <w:proofErr w:type="spellEnd"/>
            <w:r>
              <w:rPr>
                <w:i/>
                <w:iCs/>
                <w:lang w:eastAsia="en-US"/>
              </w:rPr>
              <w:t>, магистратура)</w:t>
            </w:r>
          </w:p>
        </w:tc>
      </w:tr>
    </w:tbl>
    <w:p w:rsidR="00544A4C" w:rsidRDefault="00544A4C" w:rsidP="00544A4C">
      <w:pPr>
        <w:autoSpaceDE w:val="0"/>
        <w:autoSpaceDN w:val="0"/>
        <w:adjustRightInd w:val="0"/>
        <w:rPr>
          <w:b/>
          <w:bCs/>
          <w:sz w:val="28"/>
          <w:szCs w:val="28"/>
          <w:highlight w:val="cyan"/>
          <w:lang w:eastAsia="en-US"/>
        </w:rPr>
      </w:pPr>
    </w:p>
    <w:p w:rsidR="00544A4C" w:rsidRDefault="00544A4C" w:rsidP="00544A4C">
      <w:pPr>
        <w:autoSpaceDE w:val="0"/>
        <w:autoSpaceDN w:val="0"/>
        <w:adjustRightInd w:val="0"/>
        <w:jc w:val="both"/>
        <w:rPr>
          <w:b/>
          <w:bCs/>
          <w:sz w:val="28"/>
          <w:szCs w:val="28"/>
          <w:highlight w:val="cyan"/>
          <w:lang w:eastAsia="en-US"/>
        </w:rPr>
      </w:pPr>
    </w:p>
    <w:p w:rsidR="00544A4C" w:rsidRDefault="00544A4C" w:rsidP="00544A4C">
      <w:pPr>
        <w:jc w:val="center"/>
      </w:pPr>
    </w:p>
    <w:p w:rsidR="00544A4C" w:rsidRDefault="00544A4C" w:rsidP="00544A4C">
      <w:pPr>
        <w:jc w:val="center"/>
      </w:pPr>
    </w:p>
    <w:p w:rsidR="00544A4C" w:rsidRDefault="00544A4C" w:rsidP="00544A4C">
      <w:pPr>
        <w:jc w:val="center"/>
      </w:pPr>
    </w:p>
    <w:p w:rsidR="00544A4C" w:rsidRDefault="00544A4C" w:rsidP="00544A4C">
      <w:pPr>
        <w:jc w:val="center"/>
      </w:pPr>
    </w:p>
    <w:p w:rsidR="00544A4C" w:rsidRDefault="00544A4C" w:rsidP="00544A4C">
      <w:pPr>
        <w:rPr>
          <w:b/>
          <w:bCs/>
        </w:rPr>
      </w:pPr>
    </w:p>
    <w:p w:rsidR="00544A4C" w:rsidRDefault="00544A4C" w:rsidP="00544A4C">
      <w:pPr>
        <w:rPr>
          <w:bCs/>
        </w:rPr>
      </w:pPr>
    </w:p>
    <w:p w:rsidR="00544A4C" w:rsidRDefault="00544A4C" w:rsidP="00544A4C">
      <w:pPr>
        <w:rPr>
          <w:bCs/>
        </w:rPr>
      </w:pPr>
    </w:p>
    <w:p w:rsidR="00544A4C" w:rsidRDefault="00544A4C" w:rsidP="00544A4C">
      <w:pPr>
        <w:rPr>
          <w:bCs/>
        </w:rPr>
      </w:pPr>
    </w:p>
    <w:p w:rsidR="00544A4C" w:rsidRDefault="00544A4C" w:rsidP="00544A4C">
      <w:r>
        <w:t>Автор-разработчик: Зубов В.В.</w:t>
      </w:r>
    </w:p>
    <w:p w:rsidR="00544A4C" w:rsidRDefault="00544A4C" w:rsidP="00544A4C">
      <w:pPr>
        <w:rPr>
          <w:color w:val="FF0000"/>
        </w:rPr>
      </w:pPr>
      <w:r>
        <w:t xml:space="preserve">Рассмотрено на заседании кафедры механики </w:t>
      </w:r>
    </w:p>
    <w:p w:rsidR="00544A4C" w:rsidRDefault="00544A4C" w:rsidP="00544A4C">
      <w:pPr>
        <w:rPr>
          <w:color w:val="FF0000"/>
        </w:rPr>
      </w:pPr>
      <w:r>
        <w:t>Одобрено Методическим советом университета 01 июня 2023 г., протокол № 7</w:t>
      </w:r>
    </w:p>
    <w:p w:rsidR="00544A4C" w:rsidRDefault="00544A4C" w:rsidP="00544A4C">
      <w:pPr>
        <w:tabs>
          <w:tab w:val="left" w:pos="3420"/>
        </w:tabs>
        <w:rPr>
          <w:b/>
          <w:bCs/>
        </w:rPr>
      </w:pPr>
      <w:r>
        <w:rPr>
          <w:b/>
          <w:bCs/>
        </w:rPr>
        <w:tab/>
      </w:r>
    </w:p>
    <w:p w:rsidR="00544A4C" w:rsidRDefault="00544A4C" w:rsidP="00544A4C">
      <w:pPr>
        <w:rPr>
          <w:b/>
          <w:bCs/>
        </w:rPr>
      </w:pPr>
    </w:p>
    <w:p w:rsidR="00544A4C" w:rsidRDefault="00544A4C" w:rsidP="00544A4C">
      <w:pPr>
        <w:rPr>
          <w:b/>
          <w:bCs/>
        </w:rPr>
      </w:pPr>
    </w:p>
    <w:p w:rsidR="00544A4C" w:rsidRDefault="00544A4C" w:rsidP="00544A4C">
      <w:pPr>
        <w:jc w:val="center"/>
        <w:rPr>
          <w:bCs/>
        </w:rPr>
      </w:pPr>
      <w:r>
        <w:rPr>
          <w:bCs/>
        </w:rPr>
        <w:t>г. Верхняя Пышма</w:t>
      </w:r>
    </w:p>
    <w:p w:rsidR="00F31532" w:rsidRDefault="00544A4C" w:rsidP="00544A4C">
      <w:pPr>
        <w:jc w:val="center"/>
        <w:rPr>
          <w:bCs/>
        </w:rPr>
      </w:pPr>
      <w:r>
        <w:rPr>
          <w:bCs/>
        </w:rPr>
        <w:t>2023</w:t>
      </w:r>
      <w:bookmarkStart w:id="0" w:name="_GoBack"/>
      <w:bookmarkEnd w:id="0"/>
    </w:p>
    <w:p w:rsidR="00507E1C" w:rsidRPr="00507E1C" w:rsidRDefault="00507E1C" w:rsidP="00507E1C">
      <w:pPr>
        <w:ind w:firstLine="567"/>
        <w:jc w:val="both"/>
      </w:pPr>
      <w:r w:rsidRPr="00507E1C">
        <w:lastRenderedPageBreak/>
        <w:t xml:space="preserve">Самостоятельная работа студентов — планируемая учебная работа студентов, выполняемая во внеаудиторное время по заданию и при методическом руководстве преподавателя, но без его непосредственного участия. </w:t>
      </w:r>
    </w:p>
    <w:p w:rsidR="00507E1C" w:rsidRPr="00507E1C" w:rsidRDefault="00507E1C" w:rsidP="00507E1C">
      <w:pPr>
        <w:ind w:firstLine="567"/>
        <w:jc w:val="both"/>
      </w:pPr>
      <w:r w:rsidRPr="00507E1C">
        <w:t xml:space="preserve">Основная цель самостоятельной работы студентов состоит в овладении фундаментальными знаниями, профессиональными умениями и навыками деятельности по профилю, опытом творческой, исследовательской деятельности. </w:t>
      </w:r>
    </w:p>
    <w:p w:rsidR="00507E1C" w:rsidRPr="00507E1C" w:rsidRDefault="00507E1C" w:rsidP="00507E1C">
      <w:pPr>
        <w:ind w:firstLine="567"/>
        <w:jc w:val="both"/>
      </w:pPr>
      <w:r w:rsidRPr="00507E1C">
        <w:t xml:space="preserve">Задачами организации самостоятельной работы студентов являются: </w:t>
      </w:r>
    </w:p>
    <w:p w:rsidR="00507E1C" w:rsidRPr="00507E1C" w:rsidRDefault="00507E1C" w:rsidP="00507E1C">
      <w:pPr>
        <w:ind w:firstLine="567"/>
        <w:jc w:val="both"/>
      </w:pPr>
      <w:r w:rsidRPr="00507E1C">
        <w:sym w:font="Symbol" w:char="F0B7"/>
      </w:r>
      <w:r w:rsidRPr="00507E1C">
        <w:t xml:space="preserve"> Развитие способности работать самостоятельно, формирование самостоятельности мышления и принятия решений. </w:t>
      </w:r>
    </w:p>
    <w:p w:rsidR="00507E1C" w:rsidRPr="00507E1C" w:rsidRDefault="00507E1C" w:rsidP="00507E1C">
      <w:pPr>
        <w:ind w:firstLine="567"/>
        <w:jc w:val="both"/>
      </w:pPr>
      <w:r w:rsidRPr="00507E1C">
        <w:sym w:font="Symbol" w:char="F0B7"/>
      </w:r>
      <w:r w:rsidRPr="00507E1C">
        <w:t xml:space="preserve"> Развитие активности и познавательных способностей студентов, развитие исследовательских умений. </w:t>
      </w:r>
    </w:p>
    <w:p w:rsidR="00507E1C" w:rsidRPr="00507E1C" w:rsidRDefault="00507E1C" w:rsidP="00507E1C">
      <w:pPr>
        <w:ind w:firstLine="567"/>
        <w:jc w:val="both"/>
      </w:pPr>
      <w:r w:rsidRPr="00507E1C">
        <w:sym w:font="Symbol" w:char="F0B7"/>
      </w:r>
      <w:r w:rsidRPr="00507E1C">
        <w:t xml:space="preserve"> Стимулирование самообразования и самовоспитания. </w:t>
      </w:r>
    </w:p>
    <w:p w:rsidR="00507E1C" w:rsidRPr="00507E1C" w:rsidRDefault="00507E1C" w:rsidP="00507E1C">
      <w:pPr>
        <w:ind w:firstLine="567"/>
        <w:jc w:val="both"/>
      </w:pPr>
      <w:r w:rsidRPr="00507E1C">
        <w:sym w:font="Symbol" w:char="F0B7"/>
      </w:r>
      <w:r w:rsidRPr="00507E1C">
        <w:t xml:space="preserve"> Развитие способности планировать и распределять свое время.</w:t>
      </w:r>
    </w:p>
    <w:p w:rsidR="00507E1C" w:rsidRPr="00507E1C" w:rsidRDefault="00507E1C" w:rsidP="00507E1C">
      <w:pPr>
        <w:ind w:firstLine="567"/>
        <w:jc w:val="both"/>
      </w:pPr>
      <w:r w:rsidRPr="00507E1C">
        <w:t>Кроме того, эта самостоятельная работа неразрывно связана с формированием компетенций.</w:t>
      </w:r>
    </w:p>
    <w:p w:rsidR="00507E1C" w:rsidRPr="00507E1C" w:rsidRDefault="00507E1C" w:rsidP="00507E1C">
      <w:pPr>
        <w:ind w:firstLine="567"/>
        <w:jc w:val="both"/>
      </w:pPr>
      <w:r w:rsidRPr="00507E1C">
        <w:t xml:space="preserve">Среди функций самостоятельной работы студентов в общей системе обучения выделяют следующие: </w:t>
      </w:r>
    </w:p>
    <w:p w:rsidR="00507E1C" w:rsidRPr="00507E1C" w:rsidRDefault="00507E1C" w:rsidP="00507E1C">
      <w:pPr>
        <w:ind w:firstLine="567"/>
        <w:jc w:val="both"/>
      </w:pPr>
      <w:r w:rsidRPr="00507E1C">
        <w:sym w:font="Symbol" w:char="F0B7"/>
      </w:r>
      <w:r w:rsidRPr="00507E1C">
        <w:t xml:space="preserve"> Развивающая (повышение культуры умственного труда, приобщение к творческим видам деятельности, формирование интеллектуальных способностей студентов). </w:t>
      </w:r>
    </w:p>
    <w:p w:rsidR="00507E1C" w:rsidRPr="00507E1C" w:rsidRDefault="00507E1C" w:rsidP="00507E1C">
      <w:pPr>
        <w:ind w:firstLine="567"/>
        <w:jc w:val="both"/>
      </w:pPr>
      <w:r w:rsidRPr="00507E1C">
        <w:sym w:font="Symbol" w:char="F0B7"/>
      </w:r>
      <w:r w:rsidRPr="00507E1C">
        <w:t xml:space="preserve"> Информационно</w:t>
      </w:r>
      <w:r w:rsidRPr="00507E1C">
        <w:rPr>
          <w:rFonts w:ascii="Cambria Math" w:hAnsi="Cambria Math" w:cs="Cambria Math"/>
        </w:rPr>
        <w:t>‐</w:t>
      </w:r>
      <w:r w:rsidRPr="00507E1C">
        <w:t xml:space="preserve">обучающая. </w:t>
      </w:r>
    </w:p>
    <w:p w:rsidR="00507E1C" w:rsidRPr="00507E1C" w:rsidRDefault="00507E1C" w:rsidP="00507E1C">
      <w:pPr>
        <w:ind w:firstLine="567"/>
        <w:jc w:val="both"/>
      </w:pPr>
      <w:r w:rsidRPr="00507E1C">
        <w:sym w:font="Symbol" w:char="F0B7"/>
      </w:r>
      <w:r w:rsidRPr="00507E1C">
        <w:t xml:space="preserve"> Стимулирующая (формирование мотивов образования, самообразования). </w:t>
      </w:r>
    </w:p>
    <w:p w:rsidR="00507E1C" w:rsidRPr="00507E1C" w:rsidRDefault="00507E1C" w:rsidP="00507E1C">
      <w:pPr>
        <w:ind w:firstLine="567"/>
        <w:jc w:val="both"/>
      </w:pPr>
      <w:r w:rsidRPr="00507E1C">
        <w:sym w:font="Symbol" w:char="F0B7"/>
      </w:r>
      <w:r w:rsidRPr="00507E1C">
        <w:t xml:space="preserve"> Воспитывающая (формирование личностно</w:t>
      </w:r>
      <w:r w:rsidRPr="00507E1C">
        <w:rPr>
          <w:rFonts w:ascii="Cambria Math" w:hAnsi="Cambria Math" w:cs="Cambria Math"/>
        </w:rPr>
        <w:t>‐</w:t>
      </w:r>
      <w:r w:rsidRPr="00507E1C">
        <w:t>профессиональных качеств специалиста).</w:t>
      </w:r>
    </w:p>
    <w:p w:rsidR="00507E1C" w:rsidRPr="00507E1C" w:rsidRDefault="00507E1C" w:rsidP="00507E1C">
      <w:pPr>
        <w:ind w:firstLine="567"/>
        <w:jc w:val="both"/>
      </w:pPr>
      <w:r w:rsidRPr="00507E1C">
        <w:t xml:space="preserve">Виды самостоятельной работы студентов в настоящее время весьма разнообразны и дают широкий выбор для преподавателя. </w:t>
      </w:r>
    </w:p>
    <w:p w:rsidR="00507E1C" w:rsidRPr="00507E1C" w:rsidRDefault="00507E1C" w:rsidP="00507E1C">
      <w:pPr>
        <w:ind w:firstLine="567"/>
        <w:jc w:val="both"/>
      </w:pPr>
      <w:r w:rsidRPr="00507E1C">
        <w:t xml:space="preserve">К ним относятся: </w:t>
      </w:r>
    </w:p>
    <w:p w:rsidR="00507E1C" w:rsidRPr="00507E1C" w:rsidRDefault="00507E1C" w:rsidP="00507E1C">
      <w:pPr>
        <w:numPr>
          <w:ilvl w:val="0"/>
          <w:numId w:val="1"/>
        </w:numPr>
        <w:ind w:left="0" w:firstLine="567"/>
        <w:jc w:val="both"/>
      </w:pPr>
      <w:r w:rsidRPr="00507E1C">
        <w:t xml:space="preserve">работа с книжными источниками (учебниками, задачниками, с основной и дополнительной рекомендованной литературой); </w:t>
      </w:r>
    </w:p>
    <w:p w:rsidR="00507E1C" w:rsidRPr="00507E1C" w:rsidRDefault="00507E1C" w:rsidP="00507E1C">
      <w:pPr>
        <w:ind w:firstLine="567"/>
        <w:jc w:val="both"/>
      </w:pPr>
      <w:r w:rsidRPr="00507E1C">
        <w:sym w:font="Symbol" w:char="F0B7"/>
      </w:r>
      <w:r w:rsidRPr="00507E1C">
        <w:t xml:space="preserve"> работа с электронными источниками (обучающие программы, самоучители и т.п.);</w:t>
      </w:r>
    </w:p>
    <w:p w:rsidR="00507E1C" w:rsidRPr="00507E1C" w:rsidRDefault="00507E1C" w:rsidP="00507E1C">
      <w:pPr>
        <w:ind w:firstLine="567"/>
        <w:jc w:val="both"/>
      </w:pPr>
      <w:r w:rsidRPr="00507E1C">
        <w:sym w:font="Symbol" w:char="F0B7"/>
      </w:r>
      <w:r w:rsidRPr="00507E1C">
        <w:t xml:space="preserve"> работа в сети </w:t>
      </w:r>
      <w:proofErr w:type="spellStart"/>
      <w:r w:rsidRPr="00507E1C">
        <w:t>Internet</w:t>
      </w:r>
      <w:proofErr w:type="spellEnd"/>
      <w:r w:rsidRPr="00507E1C">
        <w:t xml:space="preserve"> (поиск нужной информации, обработка противоречивой и взаимодополняющей информации; работа со специализированными образовательными сайтами);</w:t>
      </w:r>
    </w:p>
    <w:p w:rsidR="00507E1C" w:rsidRPr="00507E1C" w:rsidRDefault="00507E1C" w:rsidP="00507E1C">
      <w:pPr>
        <w:ind w:firstLine="567"/>
        <w:jc w:val="both"/>
      </w:pPr>
      <w:r w:rsidRPr="00507E1C">
        <w:sym w:font="Symbol" w:char="F0B7"/>
      </w:r>
      <w:r w:rsidRPr="00507E1C">
        <w:t xml:space="preserve"> выполнение домашних работ. </w:t>
      </w:r>
    </w:p>
    <w:p w:rsidR="00507E1C" w:rsidRDefault="00162068" w:rsidP="00162068">
      <w:pPr>
        <w:spacing w:after="120"/>
        <w:ind w:firstLine="567"/>
        <w:jc w:val="both"/>
        <w:rPr>
          <w:sz w:val="28"/>
          <w:szCs w:val="28"/>
        </w:rPr>
      </w:pPr>
      <w:r>
        <w:t xml:space="preserve">Для успешной организации и выполнения самостоятельной работы, осуществляемой обучающимися во внеаудиторное время в фонде оценочных средств приведены списки вопросов для углубленного изучения дисциплины, тестовые задания текущего и промежуточного контроля, билеты для самоконтроля, тематика рефератов, критерии оценочных градаций. Осуществляя самоконтроль дополнительно изученной тематики дисциплины, обучающийся сам оценивает степень </w:t>
      </w:r>
      <w:proofErr w:type="spellStart"/>
      <w:r>
        <w:t>усвоенности</w:t>
      </w:r>
      <w:proofErr w:type="spellEnd"/>
      <w:r>
        <w:t xml:space="preserve"> теоретического материала. Обязательно для каждого студента написание реферата по заданию преподавателя с последующим обсуждением на любом из видов (лекционных или практических) занятий. Преподаватель оценивает уровень освоения того или иного компонента компетенции. Для оценки практический знаний и </w:t>
      </w:r>
      <w:proofErr w:type="gramStart"/>
      <w:r>
        <w:t>умений</w:t>
      </w:r>
      <w:proofErr w:type="gramEnd"/>
      <w:r>
        <w:t xml:space="preserve"> и закрепления теоретического материала каждый обучающийся очной формы должен выполнить расчеты следующих задач.</w:t>
      </w:r>
    </w:p>
    <w:p w:rsidR="00C3637D" w:rsidRPr="00094DEA" w:rsidRDefault="00C3637D" w:rsidP="00C3637D">
      <w:pPr>
        <w:tabs>
          <w:tab w:val="left" w:pos="993"/>
        </w:tabs>
        <w:ind w:firstLine="709"/>
        <w:jc w:val="both"/>
        <w:outlineLvl w:val="1"/>
        <w:rPr>
          <w:iCs/>
          <w:color w:val="000000"/>
        </w:rPr>
      </w:pPr>
      <w:r w:rsidRPr="00094DEA">
        <w:rPr>
          <w:iCs/>
          <w:color w:val="000000"/>
        </w:rPr>
        <w:t xml:space="preserve">Цель самостоятельной работы: расширение научного кругозора, овладение методами теоретического исследования, развитие самостоятельности мышления студента. </w:t>
      </w:r>
    </w:p>
    <w:p w:rsidR="00C3637D" w:rsidRPr="00094DEA" w:rsidRDefault="00C3637D" w:rsidP="00C3637D">
      <w:pPr>
        <w:tabs>
          <w:tab w:val="left" w:pos="993"/>
        </w:tabs>
        <w:ind w:firstLine="709"/>
        <w:jc w:val="both"/>
        <w:outlineLvl w:val="1"/>
        <w:rPr>
          <w:iCs/>
          <w:color w:val="000000"/>
        </w:rPr>
      </w:pPr>
      <w:r w:rsidRPr="00094DEA">
        <w:rPr>
          <w:iCs/>
          <w:color w:val="000000"/>
        </w:rPr>
        <w:t>Выполнение задания</w:t>
      </w:r>
      <w:r>
        <w:rPr>
          <w:iCs/>
          <w:color w:val="000000"/>
        </w:rPr>
        <w:t xml:space="preserve"> по написанию реферата</w:t>
      </w:r>
      <w:r w:rsidRPr="00094DEA">
        <w:rPr>
          <w:iCs/>
          <w:color w:val="000000"/>
        </w:rPr>
        <w:t>:</w:t>
      </w:r>
    </w:p>
    <w:p w:rsidR="00C3637D" w:rsidRPr="00094DEA" w:rsidRDefault="00C3637D" w:rsidP="00C3637D">
      <w:pPr>
        <w:tabs>
          <w:tab w:val="left" w:pos="993"/>
        </w:tabs>
        <w:ind w:firstLine="709"/>
        <w:jc w:val="both"/>
        <w:outlineLvl w:val="1"/>
        <w:rPr>
          <w:iCs/>
          <w:color w:val="000000"/>
        </w:rPr>
      </w:pPr>
      <w:r w:rsidRPr="00094DEA">
        <w:rPr>
          <w:iCs/>
          <w:color w:val="000000"/>
        </w:rPr>
        <w:t>1) выбрать тему</w:t>
      </w:r>
      <w:r>
        <w:rPr>
          <w:iCs/>
          <w:color w:val="000000"/>
        </w:rPr>
        <w:t>;</w:t>
      </w:r>
    </w:p>
    <w:p w:rsidR="00C3637D" w:rsidRPr="00094DEA" w:rsidRDefault="00C3637D" w:rsidP="00C3637D">
      <w:pPr>
        <w:tabs>
          <w:tab w:val="left" w:pos="993"/>
        </w:tabs>
        <w:ind w:firstLine="709"/>
        <w:jc w:val="both"/>
        <w:outlineLvl w:val="1"/>
        <w:rPr>
          <w:iCs/>
          <w:color w:val="000000"/>
        </w:rPr>
      </w:pPr>
      <w:r w:rsidRPr="00094DEA">
        <w:rPr>
          <w:iCs/>
          <w:color w:val="000000"/>
        </w:rPr>
        <w:t>2) определить источники, с которыми придется работать;</w:t>
      </w:r>
    </w:p>
    <w:p w:rsidR="00C3637D" w:rsidRPr="00094DEA" w:rsidRDefault="00C3637D" w:rsidP="00C3637D">
      <w:pPr>
        <w:tabs>
          <w:tab w:val="left" w:pos="993"/>
        </w:tabs>
        <w:ind w:firstLine="709"/>
        <w:jc w:val="both"/>
        <w:outlineLvl w:val="1"/>
        <w:rPr>
          <w:iCs/>
          <w:color w:val="000000"/>
        </w:rPr>
      </w:pPr>
      <w:r w:rsidRPr="00094DEA">
        <w:rPr>
          <w:iCs/>
          <w:color w:val="000000"/>
        </w:rPr>
        <w:t>3) изучить, систематизировать и обр</w:t>
      </w:r>
      <w:r>
        <w:rPr>
          <w:iCs/>
          <w:color w:val="000000"/>
        </w:rPr>
        <w:t>аботать выбранный мате</w:t>
      </w:r>
      <w:r w:rsidRPr="00094DEA">
        <w:rPr>
          <w:iCs/>
          <w:color w:val="000000"/>
        </w:rPr>
        <w:t>риал из источников;</w:t>
      </w:r>
    </w:p>
    <w:p w:rsidR="00C3637D" w:rsidRPr="00094DEA" w:rsidRDefault="00C3637D" w:rsidP="00C3637D">
      <w:pPr>
        <w:tabs>
          <w:tab w:val="left" w:pos="993"/>
        </w:tabs>
        <w:ind w:firstLine="709"/>
        <w:jc w:val="both"/>
        <w:outlineLvl w:val="1"/>
        <w:rPr>
          <w:iCs/>
          <w:color w:val="000000"/>
        </w:rPr>
      </w:pPr>
      <w:r w:rsidRPr="00094DEA">
        <w:rPr>
          <w:iCs/>
          <w:color w:val="000000"/>
        </w:rPr>
        <w:t>4) составить план;</w:t>
      </w:r>
    </w:p>
    <w:p w:rsidR="00C3637D" w:rsidRPr="00094DEA" w:rsidRDefault="00C3637D" w:rsidP="00C3637D">
      <w:pPr>
        <w:tabs>
          <w:tab w:val="left" w:pos="993"/>
        </w:tabs>
        <w:ind w:firstLine="709"/>
        <w:jc w:val="both"/>
        <w:outlineLvl w:val="1"/>
        <w:rPr>
          <w:iCs/>
          <w:color w:val="000000"/>
        </w:rPr>
      </w:pPr>
      <w:r w:rsidRPr="00094DEA">
        <w:rPr>
          <w:iCs/>
          <w:color w:val="000000"/>
        </w:rPr>
        <w:lastRenderedPageBreak/>
        <w:t>5) написать реферат:</w:t>
      </w:r>
    </w:p>
    <w:p w:rsidR="00C3637D" w:rsidRPr="00094DEA" w:rsidRDefault="00C3637D" w:rsidP="00C3637D">
      <w:pPr>
        <w:tabs>
          <w:tab w:val="left" w:pos="993"/>
        </w:tabs>
        <w:ind w:firstLine="709"/>
        <w:jc w:val="both"/>
        <w:outlineLvl w:val="1"/>
        <w:rPr>
          <w:iCs/>
          <w:color w:val="000000"/>
        </w:rPr>
      </w:pPr>
      <w:r>
        <w:rPr>
          <w:iCs/>
          <w:color w:val="000000"/>
        </w:rPr>
        <w:t xml:space="preserve">- </w:t>
      </w:r>
      <w:r w:rsidRPr="00094DEA">
        <w:rPr>
          <w:iCs/>
          <w:color w:val="000000"/>
        </w:rPr>
        <w:t>обосновать актуальность выбранной темы;</w:t>
      </w:r>
    </w:p>
    <w:p w:rsidR="00C3637D" w:rsidRPr="00094DEA" w:rsidRDefault="00C3637D" w:rsidP="00C3637D">
      <w:pPr>
        <w:tabs>
          <w:tab w:val="left" w:pos="993"/>
        </w:tabs>
        <w:ind w:firstLine="709"/>
        <w:jc w:val="both"/>
        <w:outlineLvl w:val="1"/>
        <w:rPr>
          <w:iCs/>
          <w:color w:val="000000"/>
        </w:rPr>
      </w:pPr>
      <w:r>
        <w:rPr>
          <w:iCs/>
          <w:color w:val="000000"/>
        </w:rPr>
        <w:t xml:space="preserve">- </w:t>
      </w:r>
      <w:r w:rsidRPr="00094DEA">
        <w:rPr>
          <w:iCs/>
          <w:color w:val="000000"/>
        </w:rPr>
        <w:t>указать исходные данные реферируемого текста</w:t>
      </w:r>
      <w:r>
        <w:rPr>
          <w:iCs/>
          <w:color w:val="000000"/>
        </w:rPr>
        <w:t>;</w:t>
      </w:r>
      <w:r w:rsidRPr="00094DEA">
        <w:rPr>
          <w:iCs/>
          <w:color w:val="000000"/>
        </w:rPr>
        <w:t xml:space="preserve"> </w:t>
      </w:r>
    </w:p>
    <w:p w:rsidR="00C3637D" w:rsidRPr="00094DEA" w:rsidRDefault="00C3637D" w:rsidP="00C3637D">
      <w:pPr>
        <w:tabs>
          <w:tab w:val="left" w:pos="993"/>
        </w:tabs>
        <w:ind w:firstLine="709"/>
        <w:jc w:val="both"/>
        <w:outlineLvl w:val="1"/>
        <w:rPr>
          <w:iCs/>
          <w:color w:val="000000"/>
        </w:rPr>
      </w:pPr>
      <w:r>
        <w:rPr>
          <w:iCs/>
          <w:color w:val="000000"/>
        </w:rPr>
        <w:t xml:space="preserve">- </w:t>
      </w:r>
      <w:r w:rsidRPr="00094DEA">
        <w:rPr>
          <w:iCs/>
          <w:color w:val="000000"/>
        </w:rPr>
        <w:t>сформулировать проблематику выбранной темы;</w:t>
      </w:r>
    </w:p>
    <w:p w:rsidR="00C3637D" w:rsidRPr="00094DEA" w:rsidRDefault="00C3637D" w:rsidP="00C3637D">
      <w:pPr>
        <w:tabs>
          <w:tab w:val="left" w:pos="993"/>
        </w:tabs>
        <w:ind w:firstLine="709"/>
        <w:jc w:val="both"/>
        <w:outlineLvl w:val="1"/>
        <w:rPr>
          <w:iCs/>
          <w:color w:val="000000"/>
        </w:rPr>
      </w:pPr>
      <w:r>
        <w:rPr>
          <w:iCs/>
          <w:color w:val="000000"/>
        </w:rPr>
        <w:t xml:space="preserve">- </w:t>
      </w:r>
      <w:r w:rsidRPr="00094DEA">
        <w:rPr>
          <w:iCs/>
          <w:color w:val="000000"/>
        </w:rPr>
        <w:t>привести основные тезисы</w:t>
      </w:r>
      <w:r>
        <w:rPr>
          <w:iCs/>
          <w:color w:val="000000"/>
        </w:rPr>
        <w:t xml:space="preserve"> реферируемого текста и их аргу</w:t>
      </w:r>
      <w:r w:rsidRPr="00094DEA">
        <w:rPr>
          <w:iCs/>
          <w:color w:val="000000"/>
        </w:rPr>
        <w:t>ментацию;</w:t>
      </w:r>
    </w:p>
    <w:p w:rsidR="00C3637D" w:rsidRDefault="00C3637D" w:rsidP="00C3637D">
      <w:pPr>
        <w:tabs>
          <w:tab w:val="left" w:pos="993"/>
        </w:tabs>
        <w:ind w:firstLine="709"/>
        <w:jc w:val="both"/>
        <w:outlineLvl w:val="1"/>
        <w:rPr>
          <w:iCs/>
          <w:color w:val="000000"/>
        </w:rPr>
      </w:pPr>
      <w:r>
        <w:rPr>
          <w:iCs/>
          <w:color w:val="000000"/>
        </w:rPr>
        <w:t xml:space="preserve">- </w:t>
      </w:r>
      <w:r w:rsidRPr="00094DEA">
        <w:rPr>
          <w:iCs/>
          <w:color w:val="000000"/>
        </w:rPr>
        <w:t>сделать общий вывод по проблеме, заявленной в реферате.</w:t>
      </w:r>
    </w:p>
    <w:p w:rsidR="00C3637D" w:rsidRPr="00094DEA" w:rsidRDefault="00C3637D" w:rsidP="00C3637D">
      <w:pPr>
        <w:tabs>
          <w:tab w:val="left" w:pos="993"/>
        </w:tabs>
        <w:ind w:firstLine="709"/>
        <w:jc w:val="both"/>
        <w:outlineLvl w:val="1"/>
        <w:rPr>
          <w:iCs/>
          <w:color w:val="000000"/>
        </w:rPr>
      </w:pPr>
    </w:p>
    <w:p w:rsidR="00C3637D" w:rsidRPr="000F1AFB" w:rsidRDefault="00C3637D" w:rsidP="00C3637D">
      <w:pPr>
        <w:tabs>
          <w:tab w:val="left" w:pos="993"/>
        </w:tabs>
        <w:ind w:firstLine="709"/>
        <w:jc w:val="both"/>
        <w:outlineLvl w:val="1"/>
        <w:rPr>
          <w:b/>
          <w:iCs/>
          <w:color w:val="000000"/>
        </w:rPr>
      </w:pPr>
      <w:r w:rsidRPr="000F1AFB">
        <w:rPr>
          <w:b/>
          <w:iCs/>
          <w:color w:val="000000"/>
        </w:rPr>
        <w:t xml:space="preserve">Примерный перечень тем </w:t>
      </w:r>
      <w:r>
        <w:rPr>
          <w:b/>
          <w:iCs/>
          <w:color w:val="000000"/>
        </w:rPr>
        <w:t>для написания рефератов</w:t>
      </w:r>
    </w:p>
    <w:p w:rsidR="0073780E" w:rsidRDefault="0073780E" w:rsidP="0073780E">
      <w:pPr>
        <w:jc w:val="both"/>
      </w:pPr>
      <w:r>
        <w:t xml:space="preserve">Реферат №1 – История развития горной техники. </w:t>
      </w:r>
    </w:p>
    <w:p w:rsidR="0073780E" w:rsidRDefault="0073780E" w:rsidP="0073780E">
      <w:pPr>
        <w:ind w:firstLine="567"/>
        <w:jc w:val="both"/>
      </w:pPr>
      <w:r>
        <w:t>Проследить в хронологическом порядке этапы развития техники в соответствии с развитием горного дела с древнейших времён и до наших дней:</w:t>
      </w:r>
    </w:p>
    <w:p w:rsidR="0073780E" w:rsidRDefault="0073780E" w:rsidP="0073780E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примитивное собирательство первобытными людьми каменного материала с поверхности земли, </w:t>
      </w:r>
    </w:p>
    <w:p w:rsidR="0073780E" w:rsidRDefault="0073780E" w:rsidP="0073780E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появление первых подобий шахт и карьеров, </w:t>
      </w:r>
    </w:p>
    <w:p w:rsidR="0073780E" w:rsidRDefault="0073780E" w:rsidP="0073780E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первобытные орудия труда, замена их медными, бронзовыми и железными, </w:t>
      </w:r>
    </w:p>
    <w:p w:rsidR="0073780E" w:rsidRDefault="0073780E" w:rsidP="0073780E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способы спуска-подъёма рудокопов, подъёма руды, проветривание, водоотлив, освещение, </w:t>
      </w:r>
    </w:p>
    <w:p w:rsidR="0073780E" w:rsidRDefault="0073780E" w:rsidP="0073780E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метод пожога в первобытных шахтах, </w:t>
      </w:r>
    </w:p>
    <w:p w:rsidR="0073780E" w:rsidRDefault="0073780E" w:rsidP="0073780E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создание объединений горняков-профессионалов, </w:t>
      </w:r>
    </w:p>
    <w:p w:rsidR="0073780E" w:rsidRDefault="0073780E" w:rsidP="0073780E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введение горного права, появление горных школ и училищ, </w:t>
      </w:r>
    </w:p>
    <w:p w:rsidR="0073780E" w:rsidRDefault="0073780E" w:rsidP="0073780E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использование магнитного компаса и геометрических измерений в шахтах, </w:t>
      </w:r>
    </w:p>
    <w:p w:rsidR="0073780E" w:rsidRDefault="0073780E" w:rsidP="0073780E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изобретение паровых машин Ползуновым, </w:t>
      </w:r>
      <w:proofErr w:type="spellStart"/>
      <w:r>
        <w:t>Папеном</w:t>
      </w:r>
      <w:proofErr w:type="spellEnd"/>
      <w:r>
        <w:t xml:space="preserve">, </w:t>
      </w:r>
      <w:proofErr w:type="spellStart"/>
      <w:r>
        <w:t>Ньюкоменом</w:t>
      </w:r>
      <w:proofErr w:type="spellEnd"/>
      <w:r>
        <w:t xml:space="preserve">, Дж. Уаттом, приспособления </w:t>
      </w:r>
      <w:proofErr w:type="spellStart"/>
      <w:r>
        <w:t>Мензиса</w:t>
      </w:r>
      <w:proofErr w:type="spellEnd"/>
      <w:r>
        <w:t xml:space="preserve"> для </w:t>
      </w:r>
      <w:proofErr w:type="spellStart"/>
      <w:r>
        <w:t>подрубания</w:t>
      </w:r>
      <w:proofErr w:type="spellEnd"/>
      <w:r>
        <w:t xml:space="preserve"> угольного пласта, </w:t>
      </w:r>
    </w:p>
    <w:p w:rsidR="0073780E" w:rsidRDefault="0073780E" w:rsidP="0073780E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одноковшового парового экскаватора </w:t>
      </w:r>
      <w:proofErr w:type="spellStart"/>
      <w:r>
        <w:t>Отиса</w:t>
      </w:r>
      <w:proofErr w:type="spellEnd"/>
      <w:r>
        <w:t xml:space="preserve"> на рельсовом ходу и многоковшового экскаватора </w:t>
      </w:r>
      <w:proofErr w:type="spellStart"/>
      <w:r>
        <w:t>Кувре</w:t>
      </w:r>
      <w:proofErr w:type="spellEnd"/>
      <w:r>
        <w:t xml:space="preserve">, </w:t>
      </w:r>
    </w:p>
    <w:p w:rsidR="0073780E" w:rsidRDefault="0073780E" w:rsidP="0073780E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дисковой и цепной врубовых машин, </w:t>
      </w:r>
    </w:p>
    <w:p w:rsidR="0073780E" w:rsidRDefault="0073780E" w:rsidP="0073780E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комбайна </w:t>
      </w:r>
      <w:proofErr w:type="spellStart"/>
      <w:r>
        <w:t>Калери</w:t>
      </w:r>
      <w:proofErr w:type="spellEnd"/>
      <w:r>
        <w:t xml:space="preserve"> для проходки горизонтальных горных выработок, </w:t>
      </w:r>
    </w:p>
    <w:p w:rsidR="0073780E" w:rsidRDefault="0073780E" w:rsidP="0073780E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стальных канатов для подъёма и откатки, </w:t>
      </w:r>
    </w:p>
    <w:p w:rsidR="0073780E" w:rsidRDefault="0073780E" w:rsidP="0073780E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бурение свободно падающим инструментом, </w:t>
      </w:r>
    </w:p>
    <w:p w:rsidR="0073780E" w:rsidRDefault="0073780E" w:rsidP="0073780E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замена огневой отбойки руды взрывной отбойкой, </w:t>
      </w:r>
    </w:p>
    <w:p w:rsidR="0073780E" w:rsidRDefault="0073780E" w:rsidP="0073780E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изобретение пневматических перфораторов, электрического станка для бурения скальных пород, </w:t>
      </w:r>
    </w:p>
    <w:p w:rsidR="0073780E" w:rsidRDefault="0073780E" w:rsidP="0073780E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изобретение дробилок, конвейеров, станков шарошечного бурения, </w:t>
      </w:r>
    </w:p>
    <w:p w:rsidR="0073780E" w:rsidRDefault="0073780E" w:rsidP="0073780E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замена парового привода шахтного оборудования электрическим, </w:t>
      </w:r>
    </w:p>
    <w:p w:rsidR="0073780E" w:rsidRDefault="0073780E" w:rsidP="0073780E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применение циклично-поточной и поточной технологий добычи полезных ископаемых, </w:t>
      </w:r>
    </w:p>
    <w:p w:rsidR="0073780E" w:rsidRDefault="0073780E" w:rsidP="0073780E">
      <w:pPr>
        <w:pStyle w:val="a3"/>
        <w:numPr>
          <w:ilvl w:val="0"/>
          <w:numId w:val="1"/>
        </w:numPr>
        <w:ind w:left="0" w:firstLine="709"/>
        <w:jc w:val="both"/>
      </w:pPr>
      <w:r>
        <w:t>применение автоматизированных систем управления процессами добычи, транспортирования и обогащения полезных ископаемых.</w:t>
      </w:r>
    </w:p>
    <w:p w:rsidR="0073780E" w:rsidRDefault="0073780E" w:rsidP="0073780E">
      <w:pPr>
        <w:jc w:val="both"/>
      </w:pPr>
      <w:r>
        <w:t xml:space="preserve">       Реферат №2 – История развития горного дела.</w:t>
      </w:r>
    </w:p>
    <w:p w:rsidR="0073780E" w:rsidRDefault="0073780E" w:rsidP="0073780E">
      <w:pPr>
        <w:jc w:val="both"/>
      </w:pPr>
      <w:r>
        <w:t>Описать динамику развития взрывного дела и взрывчатых веществ от чёрного пороха до современных мощных ВВ:</w:t>
      </w:r>
    </w:p>
    <w:p w:rsidR="0073780E" w:rsidRDefault="0073780E" w:rsidP="0073780E">
      <w:pPr>
        <w:pStyle w:val="a3"/>
        <w:numPr>
          <w:ilvl w:val="0"/>
          <w:numId w:val="1"/>
        </w:numPr>
        <w:jc w:val="both"/>
      </w:pPr>
      <w:r>
        <w:t xml:space="preserve">чёрный порох, </w:t>
      </w:r>
    </w:p>
    <w:p w:rsidR="0073780E" w:rsidRDefault="0073780E" w:rsidP="0073780E">
      <w:pPr>
        <w:pStyle w:val="a3"/>
        <w:numPr>
          <w:ilvl w:val="0"/>
          <w:numId w:val="1"/>
        </w:numPr>
        <w:jc w:val="both"/>
      </w:pPr>
      <w:r>
        <w:t xml:space="preserve">гремучая ртуть, </w:t>
      </w:r>
    </w:p>
    <w:p w:rsidR="0073780E" w:rsidRDefault="0073780E" w:rsidP="0073780E">
      <w:pPr>
        <w:pStyle w:val="a3"/>
        <w:numPr>
          <w:ilvl w:val="0"/>
          <w:numId w:val="1"/>
        </w:numPr>
        <w:jc w:val="both"/>
      </w:pPr>
      <w:r>
        <w:t xml:space="preserve">гремучее серебро, </w:t>
      </w:r>
    </w:p>
    <w:p w:rsidR="0073780E" w:rsidRDefault="0073780E" w:rsidP="0073780E">
      <w:pPr>
        <w:pStyle w:val="a3"/>
        <w:numPr>
          <w:ilvl w:val="0"/>
          <w:numId w:val="1"/>
        </w:numPr>
        <w:jc w:val="both"/>
      </w:pPr>
      <w:r>
        <w:t xml:space="preserve">гремучий студень, </w:t>
      </w:r>
    </w:p>
    <w:p w:rsidR="0073780E" w:rsidRDefault="0073780E" w:rsidP="0073780E">
      <w:pPr>
        <w:pStyle w:val="a3"/>
        <w:numPr>
          <w:ilvl w:val="0"/>
          <w:numId w:val="1"/>
        </w:numPr>
        <w:jc w:val="both"/>
      </w:pPr>
      <w:r>
        <w:t xml:space="preserve">пикриновая кислота, </w:t>
      </w:r>
    </w:p>
    <w:p w:rsidR="0073780E" w:rsidRDefault="0073780E" w:rsidP="0073780E">
      <w:pPr>
        <w:pStyle w:val="a3"/>
        <w:numPr>
          <w:ilvl w:val="0"/>
          <w:numId w:val="1"/>
        </w:numPr>
        <w:jc w:val="both"/>
      </w:pPr>
      <w:r>
        <w:t xml:space="preserve">пироксилин, </w:t>
      </w:r>
    </w:p>
    <w:p w:rsidR="0073780E" w:rsidRDefault="0073780E" w:rsidP="0073780E">
      <w:pPr>
        <w:pStyle w:val="a3"/>
        <w:numPr>
          <w:ilvl w:val="0"/>
          <w:numId w:val="1"/>
        </w:numPr>
        <w:jc w:val="both"/>
      </w:pPr>
      <w:r>
        <w:t xml:space="preserve">тетрил, </w:t>
      </w:r>
    </w:p>
    <w:p w:rsidR="0073780E" w:rsidRDefault="0073780E" w:rsidP="0073780E">
      <w:pPr>
        <w:pStyle w:val="a3"/>
        <w:numPr>
          <w:ilvl w:val="0"/>
          <w:numId w:val="1"/>
        </w:numPr>
        <w:jc w:val="both"/>
      </w:pPr>
      <w:r>
        <w:t xml:space="preserve">тротил, </w:t>
      </w:r>
    </w:p>
    <w:p w:rsidR="0073780E" w:rsidRDefault="0073780E" w:rsidP="0073780E">
      <w:pPr>
        <w:pStyle w:val="a3"/>
        <w:numPr>
          <w:ilvl w:val="0"/>
          <w:numId w:val="1"/>
        </w:numPr>
        <w:jc w:val="both"/>
      </w:pPr>
      <w:r>
        <w:t xml:space="preserve">бертоллетова соль, </w:t>
      </w:r>
    </w:p>
    <w:p w:rsidR="0073780E" w:rsidRDefault="0073780E" w:rsidP="0073780E">
      <w:pPr>
        <w:pStyle w:val="a3"/>
        <w:numPr>
          <w:ilvl w:val="0"/>
          <w:numId w:val="1"/>
        </w:numPr>
        <w:jc w:val="both"/>
      </w:pPr>
      <w:r>
        <w:lastRenderedPageBreak/>
        <w:t xml:space="preserve">аммонит, </w:t>
      </w:r>
    </w:p>
    <w:p w:rsidR="0073780E" w:rsidRDefault="0073780E" w:rsidP="0073780E">
      <w:pPr>
        <w:pStyle w:val="a3"/>
        <w:numPr>
          <w:ilvl w:val="0"/>
          <w:numId w:val="1"/>
        </w:numPr>
        <w:jc w:val="both"/>
      </w:pPr>
      <w:r>
        <w:t xml:space="preserve">хлористый азот, </w:t>
      </w:r>
    </w:p>
    <w:p w:rsidR="0073780E" w:rsidRDefault="0073780E" w:rsidP="0073780E">
      <w:pPr>
        <w:pStyle w:val="a3"/>
        <w:numPr>
          <w:ilvl w:val="0"/>
          <w:numId w:val="1"/>
        </w:numPr>
        <w:jc w:val="both"/>
      </w:pPr>
      <w:r>
        <w:t xml:space="preserve">сернистый азот, </w:t>
      </w:r>
    </w:p>
    <w:p w:rsidR="0073780E" w:rsidRDefault="0073780E" w:rsidP="0073780E">
      <w:pPr>
        <w:pStyle w:val="a3"/>
        <w:numPr>
          <w:ilvl w:val="0"/>
          <w:numId w:val="1"/>
        </w:numPr>
        <w:jc w:val="both"/>
      </w:pPr>
      <w:r>
        <w:t xml:space="preserve">йодистый азот, </w:t>
      </w:r>
    </w:p>
    <w:p w:rsidR="0073780E" w:rsidRDefault="0073780E" w:rsidP="0073780E">
      <w:pPr>
        <w:pStyle w:val="a3"/>
        <w:numPr>
          <w:ilvl w:val="0"/>
          <w:numId w:val="1"/>
        </w:numPr>
        <w:jc w:val="both"/>
      </w:pPr>
      <w:r>
        <w:t xml:space="preserve">азид свинца, </w:t>
      </w:r>
    </w:p>
    <w:p w:rsidR="0073780E" w:rsidRDefault="0073780E" w:rsidP="0073780E">
      <w:pPr>
        <w:pStyle w:val="a3"/>
        <w:numPr>
          <w:ilvl w:val="0"/>
          <w:numId w:val="1"/>
        </w:numPr>
        <w:jc w:val="both"/>
      </w:pPr>
      <w:proofErr w:type="spellStart"/>
      <w:r>
        <w:t>электровоспламенитель</w:t>
      </w:r>
      <w:proofErr w:type="spellEnd"/>
      <w:r>
        <w:t xml:space="preserve"> Шиллинга для подрыва пороховых зарядов, </w:t>
      </w:r>
    </w:p>
    <w:p w:rsidR="0073780E" w:rsidRDefault="0073780E" w:rsidP="0073780E">
      <w:pPr>
        <w:pStyle w:val="a3"/>
        <w:numPr>
          <w:ilvl w:val="0"/>
          <w:numId w:val="1"/>
        </w:numPr>
        <w:jc w:val="both"/>
      </w:pPr>
      <w:r>
        <w:t xml:space="preserve">электровзрывная машинка Якоби, </w:t>
      </w:r>
    </w:p>
    <w:p w:rsidR="0073780E" w:rsidRDefault="0073780E" w:rsidP="0073780E">
      <w:pPr>
        <w:pStyle w:val="a3"/>
        <w:numPr>
          <w:ilvl w:val="0"/>
          <w:numId w:val="1"/>
        </w:numPr>
        <w:jc w:val="both"/>
      </w:pPr>
      <w:r>
        <w:t xml:space="preserve">метилбензол, </w:t>
      </w:r>
    </w:p>
    <w:p w:rsidR="0073780E" w:rsidRDefault="0073780E" w:rsidP="0073780E">
      <w:pPr>
        <w:pStyle w:val="a3"/>
        <w:numPr>
          <w:ilvl w:val="0"/>
          <w:numId w:val="1"/>
        </w:numPr>
        <w:jc w:val="both"/>
      </w:pPr>
      <w:r>
        <w:t xml:space="preserve">толуол, </w:t>
      </w:r>
    </w:p>
    <w:p w:rsidR="0073780E" w:rsidRDefault="0073780E" w:rsidP="0073780E">
      <w:pPr>
        <w:pStyle w:val="a3"/>
        <w:numPr>
          <w:ilvl w:val="0"/>
          <w:numId w:val="1"/>
        </w:numPr>
        <w:jc w:val="both"/>
      </w:pPr>
      <w:r>
        <w:t xml:space="preserve">формула Борескова для расчёта заряда на выброс, ТЭН, </w:t>
      </w:r>
    </w:p>
    <w:p w:rsidR="0073780E" w:rsidRDefault="0073780E" w:rsidP="0073780E">
      <w:pPr>
        <w:pStyle w:val="a3"/>
        <w:numPr>
          <w:ilvl w:val="0"/>
          <w:numId w:val="1"/>
        </w:numPr>
        <w:jc w:val="both"/>
      </w:pPr>
      <w:r>
        <w:t xml:space="preserve">гексоген, </w:t>
      </w:r>
    </w:p>
    <w:p w:rsidR="0073780E" w:rsidRDefault="0073780E" w:rsidP="0073780E">
      <w:pPr>
        <w:pStyle w:val="a3"/>
        <w:numPr>
          <w:ilvl w:val="0"/>
          <w:numId w:val="1"/>
        </w:numPr>
        <w:jc w:val="both"/>
      </w:pPr>
      <w:r>
        <w:t xml:space="preserve">уротропин, </w:t>
      </w:r>
    </w:p>
    <w:p w:rsidR="0073780E" w:rsidRDefault="0073780E" w:rsidP="0073780E">
      <w:pPr>
        <w:pStyle w:val="a3"/>
        <w:numPr>
          <w:ilvl w:val="0"/>
          <w:numId w:val="1"/>
        </w:numPr>
        <w:jc w:val="both"/>
      </w:pPr>
      <w:proofErr w:type="spellStart"/>
      <w:r>
        <w:t>пироколлодий</w:t>
      </w:r>
      <w:proofErr w:type="spellEnd"/>
      <w:r>
        <w:t xml:space="preserve">, </w:t>
      </w:r>
    </w:p>
    <w:p w:rsidR="0073780E" w:rsidRDefault="0073780E" w:rsidP="0073780E">
      <w:pPr>
        <w:pStyle w:val="a3"/>
        <w:numPr>
          <w:ilvl w:val="0"/>
          <w:numId w:val="1"/>
        </w:numPr>
        <w:jc w:val="both"/>
      </w:pPr>
      <w:proofErr w:type="spellStart"/>
      <w:r>
        <w:t>керосинит</w:t>
      </w:r>
      <w:proofErr w:type="spellEnd"/>
      <w:r>
        <w:t xml:space="preserve">, </w:t>
      </w:r>
    </w:p>
    <w:p w:rsidR="0073780E" w:rsidRDefault="0073780E" w:rsidP="0073780E">
      <w:pPr>
        <w:pStyle w:val="a3"/>
        <w:numPr>
          <w:ilvl w:val="0"/>
          <w:numId w:val="1"/>
        </w:numPr>
        <w:jc w:val="both"/>
      </w:pPr>
      <w:proofErr w:type="spellStart"/>
      <w:r>
        <w:t>игданит</w:t>
      </w:r>
      <w:proofErr w:type="spellEnd"/>
      <w:r>
        <w:t xml:space="preserve">, </w:t>
      </w:r>
    </w:p>
    <w:p w:rsidR="0073780E" w:rsidRDefault="0073780E" w:rsidP="0073780E">
      <w:pPr>
        <w:pStyle w:val="a3"/>
        <w:numPr>
          <w:ilvl w:val="0"/>
          <w:numId w:val="1"/>
        </w:numPr>
        <w:jc w:val="both"/>
      </w:pPr>
      <w:r>
        <w:t>короткозамедленное взрывание, детонирующий и огнепроводный шнуры,</w:t>
      </w:r>
    </w:p>
    <w:p w:rsidR="0073780E" w:rsidRDefault="0073780E" w:rsidP="0073780E">
      <w:pPr>
        <w:pStyle w:val="a3"/>
        <w:numPr>
          <w:ilvl w:val="0"/>
          <w:numId w:val="1"/>
        </w:numPr>
        <w:jc w:val="both"/>
      </w:pPr>
      <w:r>
        <w:t>применение ВВ при проходке тоннелей, прокладке каналов, строительстве ГЭС, возведении каменно-набросных и противоселевых плотин.</w:t>
      </w:r>
    </w:p>
    <w:p w:rsidR="00162068" w:rsidRPr="0073780E" w:rsidRDefault="00C3637D" w:rsidP="0073780E">
      <w:pPr>
        <w:pStyle w:val="a3"/>
        <w:numPr>
          <w:ilvl w:val="0"/>
          <w:numId w:val="1"/>
        </w:numPr>
        <w:tabs>
          <w:tab w:val="left" w:pos="993"/>
        </w:tabs>
        <w:jc w:val="both"/>
        <w:outlineLvl w:val="1"/>
        <w:rPr>
          <w:bCs/>
        </w:rPr>
      </w:pPr>
      <w:r w:rsidRPr="003743DC">
        <w:t>.</w:t>
      </w:r>
    </w:p>
    <w:sectPr w:rsidR="00162068" w:rsidRPr="00737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3EC0D190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ascii="Times New Roman" w:hAnsi="Times New Roman" w:cs="Times New Roman" w:hint="default"/>
        <w:b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1EB4444"/>
    <w:multiLevelType w:val="hybridMultilevel"/>
    <w:tmpl w:val="503EAE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F1878"/>
    <w:multiLevelType w:val="hybridMultilevel"/>
    <w:tmpl w:val="DFE01322"/>
    <w:lvl w:ilvl="0" w:tplc="47363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FE1393"/>
    <w:multiLevelType w:val="hybridMultilevel"/>
    <w:tmpl w:val="E9B09AEE"/>
    <w:lvl w:ilvl="0" w:tplc="1326F53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2550CB5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2434F"/>
    <w:multiLevelType w:val="hybridMultilevel"/>
    <w:tmpl w:val="3E4E96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6F"/>
    <w:rsid w:val="00162068"/>
    <w:rsid w:val="00224272"/>
    <w:rsid w:val="00340B0B"/>
    <w:rsid w:val="004754B4"/>
    <w:rsid w:val="004E4504"/>
    <w:rsid w:val="00507E1C"/>
    <w:rsid w:val="00544A4C"/>
    <w:rsid w:val="0073780E"/>
    <w:rsid w:val="008E1AD7"/>
    <w:rsid w:val="00AC47A5"/>
    <w:rsid w:val="00B010AE"/>
    <w:rsid w:val="00B27EA4"/>
    <w:rsid w:val="00B728ED"/>
    <w:rsid w:val="00B9076F"/>
    <w:rsid w:val="00C30500"/>
    <w:rsid w:val="00C3637D"/>
    <w:rsid w:val="00CA3849"/>
    <w:rsid w:val="00DA536E"/>
    <w:rsid w:val="00DF2A59"/>
    <w:rsid w:val="00E10379"/>
    <w:rsid w:val="00F24A9D"/>
    <w:rsid w:val="00F3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AAF21-695B-4DD0-8D15-1825AA35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7E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E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07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png@01D20F60.4869DC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Гурская Татьяна Викторовна</dc:creator>
  <cp:keywords/>
  <dc:description/>
  <cp:lastModifiedBy>Пашко Алексей Дмитриевич</cp:lastModifiedBy>
  <cp:revision>4</cp:revision>
  <dcterms:created xsi:type="dcterms:W3CDTF">2021-11-24T10:58:00Z</dcterms:created>
  <dcterms:modified xsi:type="dcterms:W3CDTF">2023-08-24T12:18:00Z</dcterms:modified>
</cp:coreProperties>
</file>